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09FC5A">
      <w:pPr>
        <w:rPr>
          <w:rFonts w:hint="eastAsia" w:ascii="FangSong" w:hAnsi="FangSong" w:eastAsia="FangSong"/>
          <w:sz w:val="32"/>
          <w:szCs w:val="32"/>
        </w:rPr>
      </w:pPr>
    </w:p>
    <w:p w14:paraId="7DB93C76"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bookmarkStart w:id="4" w:name="_GoBack"/>
      <w:r>
        <w:rPr>
          <w:rFonts w:hint="eastAsia" w:asciiTheme="majorEastAsia" w:hAnsiTheme="majorEastAsia" w:eastAsiaTheme="majorEastAsia"/>
          <w:b/>
          <w:sz w:val="44"/>
          <w:szCs w:val="44"/>
        </w:rPr>
        <w:t>中国（辽宁）自由贸易试验区营口片区概况</w:t>
      </w:r>
    </w:p>
    <w:p w14:paraId="35446434"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及投资指南</w:t>
      </w:r>
    </w:p>
    <w:p w14:paraId="3CA22841">
      <w:pPr>
        <w:ind w:firstLine="640" w:firstLineChars="200"/>
        <w:jc w:val="center"/>
        <w:rPr>
          <w:rFonts w:ascii="FangSong" w:hAnsi="FangSong" w:eastAsia="FangSong"/>
          <w:sz w:val="32"/>
          <w:szCs w:val="32"/>
        </w:rPr>
      </w:pPr>
    </w:p>
    <w:p w14:paraId="2796A6F6">
      <w:pPr>
        <w:ind w:firstLine="640" w:firstLineChars="200"/>
        <w:rPr>
          <w:rFonts w:ascii="FangSong" w:hAnsi="FangSong" w:eastAsia="FangSong"/>
          <w:sz w:val="32"/>
          <w:szCs w:val="32"/>
        </w:rPr>
      </w:pPr>
      <w:r>
        <w:rPr>
          <w:rFonts w:hint="eastAsia" w:ascii="FangSong" w:hAnsi="FangSong" w:eastAsia="FangSong"/>
          <w:sz w:val="32"/>
          <w:szCs w:val="32"/>
        </w:rPr>
        <w:t>中国（辽宁）自由贸易试验区营口片区位于沈阳大连之间，实施范围29.96平方公里,依托国家级高新技术产业开发区开发建设和综合保税区的设立，形成了“自贸区+高新区+综保区”三区叠加的政策优势。</w:t>
      </w:r>
    </w:p>
    <w:p w14:paraId="0D6F87B0">
      <w:pPr>
        <w:ind w:firstLine="643" w:firstLineChars="200"/>
        <w:rPr>
          <w:rFonts w:ascii="FangSong" w:hAnsi="FangSong" w:eastAsia="FangSong"/>
          <w:b/>
          <w:sz w:val="32"/>
          <w:szCs w:val="32"/>
        </w:rPr>
      </w:pPr>
      <w:r>
        <w:rPr>
          <w:rFonts w:hint="eastAsia" w:ascii="FangSong" w:hAnsi="FangSong" w:eastAsia="FangSong"/>
          <w:b/>
          <w:sz w:val="32"/>
          <w:szCs w:val="32"/>
        </w:rPr>
        <w:t>一、战略定位</w:t>
      </w:r>
    </w:p>
    <w:p w14:paraId="1DE51B2B">
      <w:pPr>
        <w:ind w:firstLine="640" w:firstLineChars="200"/>
        <w:rPr>
          <w:rFonts w:ascii="FangSong" w:hAnsi="FangSong" w:eastAsia="FangSong"/>
          <w:sz w:val="32"/>
          <w:szCs w:val="32"/>
        </w:rPr>
      </w:pPr>
      <w:r>
        <w:rPr>
          <w:rFonts w:hint="eastAsia" w:ascii="FangSong" w:hAnsi="FangSong" w:eastAsia="FangSong"/>
          <w:sz w:val="32"/>
          <w:szCs w:val="32"/>
        </w:rPr>
        <w:t>围绕港口核心战略资源和营满欧大陆桥，构建国际海铁联运大通道的重要枢纽，带动区域性物流中心建设，形成中国北方重要航运枢纽和东北亚区域物流中心，努力构建辽宁乃至东北地区对外开放的新高地，成为制度创新和产业转型升级的新标杆。</w:t>
      </w:r>
    </w:p>
    <w:p w14:paraId="5DE29F27">
      <w:pPr>
        <w:ind w:firstLine="643" w:firstLineChars="200"/>
        <w:rPr>
          <w:rFonts w:ascii="FangSong" w:hAnsi="FangSong" w:eastAsia="FangSong"/>
          <w:b/>
          <w:sz w:val="32"/>
          <w:szCs w:val="32"/>
        </w:rPr>
      </w:pPr>
      <w:r>
        <w:rPr>
          <w:rFonts w:hint="eastAsia" w:ascii="FangSong" w:hAnsi="FangSong" w:eastAsia="FangSong"/>
          <w:b/>
          <w:sz w:val="32"/>
          <w:szCs w:val="32"/>
        </w:rPr>
        <w:t>二、发展目标</w:t>
      </w:r>
    </w:p>
    <w:p w14:paraId="23A7F72E">
      <w:pPr>
        <w:ind w:firstLine="640" w:firstLineChars="200"/>
        <w:rPr>
          <w:rFonts w:ascii="FangSong" w:hAnsi="FangSong" w:eastAsia="FangSong"/>
          <w:sz w:val="32"/>
          <w:szCs w:val="32"/>
        </w:rPr>
      </w:pPr>
      <w:r>
        <w:rPr>
          <w:rFonts w:hint="eastAsia" w:ascii="FangSong" w:hAnsi="FangSong" w:eastAsia="FangSong"/>
          <w:sz w:val="32"/>
          <w:szCs w:val="32"/>
        </w:rPr>
        <w:t>推动自贸试验区建设与完善机制体制、推进结构调整、鼓励创新创业、保障改善民生相结合，加快融入“一带一路”建设，扩大东北亚地区合作内涵。力争经过三至五年的改革试验，逐步形成法制环境规范、投资贸易便利、监管高效便捷、辐射带动突出的自贸试验区，引领东北地区转变经济发展方式，提高经济发展质量和水平，为构建我国开放型经济新格局发挥更大的作用。</w:t>
      </w:r>
    </w:p>
    <w:p w14:paraId="0225500A">
      <w:pPr>
        <w:ind w:firstLine="643" w:firstLineChars="200"/>
        <w:rPr>
          <w:rFonts w:ascii="FangSong" w:hAnsi="FangSong" w:eastAsia="FangSong"/>
          <w:b/>
          <w:sz w:val="32"/>
          <w:szCs w:val="32"/>
        </w:rPr>
      </w:pPr>
      <w:r>
        <w:rPr>
          <w:rFonts w:hint="eastAsia" w:ascii="FangSong" w:hAnsi="FangSong" w:eastAsia="FangSong"/>
          <w:b/>
          <w:sz w:val="32"/>
          <w:szCs w:val="32"/>
        </w:rPr>
        <w:t>三、产业布局</w:t>
      </w:r>
    </w:p>
    <w:p w14:paraId="0F9FAE4F">
      <w:pPr>
        <w:ind w:firstLine="643" w:firstLineChars="200"/>
        <w:rPr>
          <w:rFonts w:ascii="FangSong" w:hAnsi="FangSong" w:eastAsia="FangSong"/>
          <w:sz w:val="32"/>
          <w:szCs w:val="32"/>
        </w:rPr>
      </w:pPr>
      <w:r>
        <w:rPr>
          <w:rFonts w:hint="eastAsia" w:ascii="FangSong" w:hAnsi="FangSong" w:eastAsia="FangSong"/>
          <w:b/>
          <w:sz w:val="32"/>
          <w:szCs w:val="32"/>
        </w:rPr>
        <w:t>五大产业</w:t>
      </w:r>
      <w:r>
        <w:rPr>
          <w:rFonts w:hint="eastAsia" w:ascii="FangSong" w:hAnsi="FangSong" w:eastAsia="FangSong"/>
          <w:sz w:val="32"/>
          <w:szCs w:val="32"/>
        </w:rPr>
        <w:t>：先进装备制造产业、现代生活性服务业、金融产业、商贸物流和战略性新兴产业。</w:t>
      </w:r>
    </w:p>
    <w:p w14:paraId="2E84918B">
      <w:pPr>
        <w:ind w:firstLine="643" w:firstLineChars="200"/>
        <w:rPr>
          <w:rFonts w:ascii="FangSong" w:hAnsi="FangSong" w:eastAsia="FangSong"/>
          <w:sz w:val="32"/>
          <w:szCs w:val="32"/>
        </w:rPr>
      </w:pPr>
      <w:r>
        <w:rPr>
          <w:rFonts w:hint="eastAsia" w:ascii="FangSong" w:hAnsi="FangSong" w:eastAsia="FangSong"/>
          <w:b/>
          <w:sz w:val="32"/>
          <w:szCs w:val="32"/>
        </w:rPr>
        <w:t>三大重点业态</w:t>
      </w:r>
      <w:r>
        <w:rPr>
          <w:rFonts w:hint="eastAsia" w:ascii="FangSong" w:hAnsi="FangSong" w:eastAsia="FangSong"/>
          <w:sz w:val="32"/>
          <w:szCs w:val="32"/>
        </w:rPr>
        <w:t>：总部经济、平台经济、四新经济（新技术、新产业、新业态和新模式）。</w:t>
      </w:r>
    </w:p>
    <w:p w14:paraId="725199F3">
      <w:pPr>
        <w:ind w:firstLine="643" w:firstLineChars="200"/>
        <w:rPr>
          <w:rFonts w:ascii="FangSong" w:hAnsi="FangSong" w:eastAsia="FangSong"/>
          <w:sz w:val="32"/>
          <w:szCs w:val="32"/>
        </w:rPr>
      </w:pPr>
      <w:r>
        <w:rPr>
          <w:rFonts w:hint="eastAsia" w:ascii="FangSong" w:hAnsi="FangSong" w:eastAsia="FangSong"/>
          <w:b/>
          <w:sz w:val="32"/>
          <w:szCs w:val="32"/>
        </w:rPr>
        <w:t>五大功能区块</w:t>
      </w:r>
      <w:r>
        <w:rPr>
          <w:rFonts w:hint="eastAsia" w:ascii="FangSong" w:hAnsi="FangSong" w:eastAsia="FangSong"/>
          <w:sz w:val="32"/>
          <w:szCs w:val="32"/>
        </w:rPr>
        <w:t>：</w:t>
      </w:r>
      <w:r>
        <w:rPr>
          <w:rFonts w:hint="eastAsia" w:ascii="FangSong" w:hAnsi="FangSong" w:eastAsia="FangSong"/>
          <w:b/>
          <w:sz w:val="32"/>
          <w:szCs w:val="32"/>
        </w:rPr>
        <w:t>旅游休闲产业集聚区</w:t>
      </w:r>
      <w:r>
        <w:rPr>
          <w:rFonts w:hint="eastAsia" w:ascii="FangSong" w:hAnsi="FangSong" w:eastAsia="FangSong"/>
          <w:sz w:val="32"/>
          <w:szCs w:val="32"/>
        </w:rPr>
        <w:t>，规划面积6.44平方公里，重点发展文化演艺、主题公园、国际教育培训学校。</w:t>
      </w:r>
      <w:r>
        <w:rPr>
          <w:rFonts w:hint="eastAsia" w:ascii="FangSong" w:hAnsi="FangSong" w:eastAsia="FangSong"/>
          <w:b/>
          <w:sz w:val="32"/>
          <w:szCs w:val="32"/>
        </w:rPr>
        <w:t>科技研发及新兴产业集聚区</w:t>
      </w:r>
      <w:r>
        <w:rPr>
          <w:rFonts w:hint="eastAsia" w:ascii="FangSong" w:hAnsi="FangSong" w:eastAsia="FangSong"/>
          <w:sz w:val="32"/>
          <w:szCs w:val="32"/>
        </w:rPr>
        <w:t>，规划面积4.84平方公里，重点发展新材料、新能源、海洋新兴产业、新一代电子信息产业等战略性新兴产业和科技研发。</w:t>
      </w:r>
      <w:r>
        <w:rPr>
          <w:rFonts w:hint="eastAsia" w:ascii="FangSong" w:hAnsi="FangSong" w:eastAsia="FangSong"/>
          <w:b/>
          <w:sz w:val="32"/>
          <w:szCs w:val="32"/>
        </w:rPr>
        <w:t>制造业转型升级示范区</w:t>
      </w:r>
      <w:r>
        <w:rPr>
          <w:rFonts w:hint="eastAsia" w:ascii="FangSong" w:hAnsi="FangSong" w:eastAsia="FangSong"/>
          <w:sz w:val="32"/>
          <w:szCs w:val="32"/>
        </w:rPr>
        <w:t xml:space="preserve">，规划面积6.74平方公里，重点发展海洋装备、智能安全装备、汽车零部件及配件。 </w:t>
      </w:r>
      <w:r>
        <w:rPr>
          <w:rFonts w:hint="eastAsia" w:ascii="FangSong" w:hAnsi="FangSong" w:eastAsia="FangSong"/>
          <w:b/>
          <w:sz w:val="32"/>
          <w:szCs w:val="32"/>
        </w:rPr>
        <w:t>现代物流商贸产业集聚区，</w:t>
      </w:r>
      <w:r>
        <w:rPr>
          <w:rFonts w:hint="eastAsia" w:ascii="FangSong" w:hAnsi="FangSong" w:eastAsia="FangSong"/>
          <w:sz w:val="32"/>
          <w:szCs w:val="32"/>
        </w:rPr>
        <w:t>规划面积3.76平方公里，依托综合保税区，重点发展保税仓储、出口加工、转口贸易。</w:t>
      </w:r>
      <w:r>
        <w:rPr>
          <w:rFonts w:hint="eastAsia" w:ascii="FangSong" w:hAnsi="FangSong" w:eastAsia="FangSong"/>
          <w:b/>
          <w:sz w:val="32"/>
          <w:szCs w:val="32"/>
        </w:rPr>
        <w:t>平台经济和总部经济集聚区</w:t>
      </w:r>
      <w:r>
        <w:rPr>
          <w:rFonts w:hint="eastAsia" w:ascii="FangSong" w:hAnsi="FangSong" w:eastAsia="FangSong"/>
          <w:sz w:val="32"/>
          <w:szCs w:val="32"/>
        </w:rPr>
        <w:t>，规划面积6.17平方公里，重点发展总部经济、金融创新、商品展示和行政服务。</w:t>
      </w:r>
    </w:p>
    <w:p w14:paraId="04CB7034">
      <w:pPr>
        <w:ind w:firstLine="640" w:firstLineChars="200"/>
        <w:rPr>
          <w:rFonts w:ascii="FangSong" w:hAnsi="FangSong" w:eastAsia="FangSong"/>
          <w:sz w:val="32"/>
          <w:szCs w:val="32"/>
        </w:rPr>
      </w:pPr>
      <w:r>
        <w:rPr>
          <w:rFonts w:hint="eastAsia" w:ascii="FangSong" w:hAnsi="FangSong" w:eastAsia="FangSong"/>
          <w:sz w:val="32"/>
          <w:szCs w:val="32"/>
        </w:rPr>
        <w:t>营口综保区于2017年12月获得国家批复，规划面积1.8平方公里，2018年12月获得国家正式验收，2019年5月正式封关运行，2019年7月实现首票货物入区。通过一年的建设发展，综保区开放功能不断完善，外向型经济发展迅速，产业基础不断夯实。2020年初以来，综保区1210保税备货业务正式启动；国际快件监管中心获得大连海关正式验收；肉类和生鲜水产品海关指定监管场地启动申报程序。重点发展三大产业：保税加工产业：重点发展原料、市场“两头在外”的出口加工产业。保税物流产业：重点发展国际采购、分销和配送。保税贸易产业：重点发展保税仓储和转口贸易。</w:t>
      </w:r>
    </w:p>
    <w:p w14:paraId="3AFBFEEC">
      <w:pPr>
        <w:ind w:firstLine="643" w:firstLineChars="200"/>
        <w:rPr>
          <w:rFonts w:ascii="FangSong" w:hAnsi="FangSong" w:eastAsia="FangSong"/>
          <w:b/>
          <w:sz w:val="32"/>
          <w:szCs w:val="32"/>
        </w:rPr>
      </w:pPr>
      <w:r>
        <w:rPr>
          <w:rFonts w:hint="eastAsia" w:ascii="FangSong" w:hAnsi="FangSong" w:eastAsia="FangSong"/>
          <w:b/>
          <w:sz w:val="32"/>
          <w:szCs w:val="32"/>
        </w:rPr>
        <w:t>四、区位优势</w:t>
      </w:r>
    </w:p>
    <w:p w14:paraId="6B227398">
      <w:pPr>
        <w:ind w:firstLine="640" w:firstLineChars="200"/>
        <w:rPr>
          <w:rFonts w:ascii="FangSong" w:hAnsi="FangSong" w:eastAsia="FangSong"/>
          <w:sz w:val="32"/>
          <w:szCs w:val="32"/>
        </w:rPr>
      </w:pPr>
      <w:r>
        <w:rPr>
          <w:rFonts w:hint="eastAsia" w:ascii="FangSong" w:hAnsi="FangSong" w:eastAsia="FangSong"/>
          <w:sz w:val="32"/>
          <w:szCs w:val="32"/>
        </w:rPr>
        <w:t>营口是“一带一路”战略的重要节点城市，位于辽东半岛西北部、大辽河入海口的左岸，处于东北亚经济圈、环渤海经济圈的结合部，拥有海、陆、空立体交通网络。首批国家物流枢纽城市、首批国家骨干冷链物流基地、跨境电商零售试点市、2019年中国外贸百强城市第56位、全国流通领域现代物流示范市、全国农产品冷链流通标准化试点城市。</w:t>
      </w:r>
    </w:p>
    <w:p w14:paraId="363209A7">
      <w:pPr>
        <w:ind w:firstLine="640" w:firstLineChars="200"/>
        <w:rPr>
          <w:rFonts w:ascii="FangSong" w:hAnsi="FangSong" w:eastAsia="FangSong"/>
          <w:sz w:val="32"/>
          <w:szCs w:val="32"/>
        </w:rPr>
      </w:pPr>
      <w:r>
        <w:rPr>
          <w:rFonts w:hint="eastAsia" w:ascii="FangSong" w:hAnsi="FangSong" w:eastAsia="FangSong"/>
          <w:sz w:val="32"/>
          <w:szCs w:val="32"/>
        </w:rPr>
        <w:t>营口港是东北腹地及内蒙古东部地区最近的出海口，和大连港比，陆路运输距离近200公里。辐射东北腹地1.1亿人口5.3万亿的GDP。年吞吐量居全国沿海港口第8位、全球沿海港口第11位。</w:t>
      </w:r>
      <w:r>
        <w:rPr>
          <w:rFonts w:ascii="FangSong" w:hAnsi="FangSong" w:eastAsia="FangSong"/>
          <w:sz w:val="32"/>
          <w:szCs w:val="32"/>
        </w:rPr>
        <w:t>营口港海铁联运网络已覆盖东北三省和内蒙东部地区。营口港拥有包括集装箱、汽车、煤炭、粮食、矿石、钢材、大件设备、成品油及液体化工品、原油等9类货种专用码头，其中矿石码头、原油码头分别为30万吨级，集装箱码头可靠泊第五代集装箱船。主要作业货种有铁矿石、钢材、煤炭、粮食、非矿、成品油及化工产品、化肥、原油、内贸商品汽车、集装箱等。</w:t>
      </w:r>
      <w:bookmarkStart w:id="0" w:name="航班航线"/>
      <w:bookmarkEnd w:id="0"/>
      <w:bookmarkStart w:id="1" w:name="3-2"/>
      <w:bookmarkEnd w:id="1"/>
      <w:bookmarkStart w:id="2" w:name="3_2"/>
      <w:bookmarkEnd w:id="2"/>
      <w:bookmarkStart w:id="3" w:name="sub290471_3_2"/>
      <w:bookmarkEnd w:id="3"/>
      <w:r>
        <w:rPr>
          <w:rFonts w:ascii="FangSong" w:hAnsi="FangSong" w:eastAsia="FangSong"/>
          <w:sz w:val="32"/>
          <w:szCs w:val="32"/>
        </w:rPr>
        <w:t>现有的内贸集装箱航线已覆盖中国沿海30个主要港口，航班密度达到每月420班次以上，运量占东北港口的2/3。其中广州、上海班期可达每天两班以上，宁波、福州、泉州班期可达每天一班以上。现有外贸直航航线4条，分别是东南亚航线、日本关东航线、韩国釜山航线、韩国仁川航线（国际客货班轮航线）。另有通过天津、大连、宁波、上海中转世界各地的外贸内支线4条。外贸直航航线和外贸内支线合计可达到每月50班次以上。</w:t>
      </w:r>
    </w:p>
    <w:p w14:paraId="16675978">
      <w:pPr>
        <w:ind w:firstLine="636"/>
        <w:rPr>
          <w:rFonts w:ascii="FangSong" w:hAnsi="FangSong" w:eastAsia="FangSong"/>
          <w:sz w:val="32"/>
          <w:szCs w:val="32"/>
        </w:rPr>
      </w:pPr>
      <w:r>
        <w:rPr>
          <w:rFonts w:hint="eastAsia" w:ascii="FangSong" w:hAnsi="FangSong" w:eastAsia="FangSong"/>
          <w:sz w:val="32"/>
          <w:szCs w:val="32"/>
        </w:rPr>
        <w:t>营口兰旗机场，</w:t>
      </w:r>
      <w:r>
        <w:rPr>
          <w:rFonts w:ascii="FangSong" w:hAnsi="FangSong" w:eastAsia="FangSong"/>
          <w:sz w:val="32"/>
          <w:szCs w:val="32"/>
        </w:rPr>
        <w:t>为4C级中国国内支线机场，2016年2月3日，营口兰旗机场正式通航。</w:t>
      </w:r>
      <w:r>
        <w:rPr>
          <w:rFonts w:hint="eastAsia" w:ascii="FangSong" w:hAnsi="FangSong" w:eastAsia="FangSong"/>
          <w:sz w:val="32"/>
          <w:szCs w:val="32"/>
        </w:rPr>
        <w:t>目前，已开通西安、潍坊、海口、济南、广州、合肥、南京等地航线。</w:t>
      </w:r>
      <w:r>
        <w:rPr>
          <w:rFonts w:ascii="FangSong" w:hAnsi="FangSong" w:eastAsia="FangSong"/>
          <w:sz w:val="32"/>
          <w:szCs w:val="32"/>
        </w:rPr>
        <w:t>可满足年旅客吞吐量75万人次、货邮吞吐量4130吨的使用需求。2019年，营口兰旗机场共完成旅客吞吐量40.6536万人次，全国排名第158位；货邮吞吐量276.5吨，全国排名第166位；飞机起降4279架次，全国排名第175位。2020年6月，营口兰旗机场开通首条全货机航线，为天津货运航空使用B737-300F型货机执飞的天津—营口—杭州—天津航线，因此成为中国东北地区首家开通国内全货机航线的支线机场。</w:t>
      </w:r>
    </w:p>
    <w:p w14:paraId="4821604B">
      <w:pPr>
        <w:ind w:firstLine="643" w:firstLineChars="200"/>
        <w:rPr>
          <w:rFonts w:ascii="FangSong" w:hAnsi="FangSong" w:eastAsia="FangSong"/>
          <w:b/>
          <w:sz w:val="32"/>
          <w:szCs w:val="32"/>
        </w:rPr>
      </w:pPr>
      <w:r>
        <w:rPr>
          <w:rFonts w:hint="eastAsia" w:ascii="FangSong" w:hAnsi="FangSong" w:eastAsia="FangSong"/>
          <w:b/>
          <w:sz w:val="32"/>
          <w:szCs w:val="32"/>
        </w:rPr>
        <w:t>五、产业投资参考经济指标</w:t>
      </w:r>
    </w:p>
    <w:p w14:paraId="04808617">
      <w:pPr>
        <w:ind w:firstLine="636"/>
        <w:rPr>
          <w:rFonts w:ascii="FangSong" w:hAnsi="FangSong" w:eastAsia="FangSong"/>
          <w:sz w:val="32"/>
          <w:szCs w:val="32"/>
        </w:rPr>
      </w:pPr>
      <w:r>
        <w:rPr>
          <w:rFonts w:hint="eastAsia" w:ascii="FangSong" w:hAnsi="FangSong" w:eastAsia="FangSong"/>
          <w:sz w:val="32"/>
          <w:szCs w:val="32"/>
        </w:rPr>
        <w:t>全年地区生产总值1403.2亿元，比上年增长2.0%。其中，第一产业增加值117.6亿元，增长4.3%；第二产业增加值634.9亿元，下降1.1%；第三产业增加值650.7亿元，增长4.4%。全年人均地区生产总值60484元，比上年增长2.9%。</w:t>
      </w:r>
    </w:p>
    <w:p w14:paraId="51E874DD">
      <w:pPr>
        <w:ind w:firstLine="636"/>
        <w:rPr>
          <w:rFonts w:ascii="FangSong" w:hAnsi="FangSong" w:eastAsia="FangSong"/>
          <w:sz w:val="32"/>
          <w:szCs w:val="32"/>
        </w:rPr>
      </w:pPr>
      <w:r>
        <w:rPr>
          <w:rFonts w:hint="eastAsia" w:ascii="FangSong" w:hAnsi="FangSong" w:eastAsia="FangSong"/>
          <w:sz w:val="32"/>
          <w:szCs w:val="32"/>
        </w:rPr>
        <w:t>国内贸易，全年社会消费品零售总额447.6亿元，比上年增长12.5%。</w:t>
      </w:r>
    </w:p>
    <w:p w14:paraId="56FC9481">
      <w:pPr>
        <w:rPr>
          <w:rFonts w:ascii="FangSong" w:hAnsi="FangSong" w:eastAsia="FangSong"/>
          <w:sz w:val="32"/>
          <w:szCs w:val="32"/>
        </w:rPr>
      </w:pPr>
      <w:r>
        <w:rPr>
          <w:rFonts w:hint="eastAsia" w:ascii="FangSong" w:hAnsi="FangSong" w:eastAsia="FangSong"/>
          <w:sz w:val="32"/>
          <w:szCs w:val="32"/>
        </w:rPr>
        <w:t>分经营地看，全年城镇零售额392.0亿元，比上年增长12.5 %；乡村零售额55.6亿元，增长13.0%。分消费类型看，商品零售额419.0亿元，比上年增长12.5%；餐饮收入额28.6亿元，增长13.2%。在限额以上批发零售业商品零售类值中，全年粮油、食品类零售额17.9亿元，增长39.4%；服装、鞋帽、针纺织品类2.1亿元，增长3.0%；化妆品类0.2亿元，增长3.8%；金银珠宝类0.7亿元，增长27.5%；日用品类2.5亿元，增长19.4%；家用电器和音像器材类6.2亿元，下降27.7%；中西药品类7.8亿元，增长0.4%；文化办公用品类0.2亿元，下降41.1%；通讯器材类4.8亿元，增长4.2%；石油及制品类36.5亿元，增长43.4%；建筑及装潢材料类0.4亿元，增长11.8%；汽车类42.0亿元，下降4.0%。</w:t>
      </w:r>
    </w:p>
    <w:p w14:paraId="3A043527">
      <w:pPr>
        <w:ind w:firstLine="636"/>
        <w:rPr>
          <w:rFonts w:hint="eastAsia" w:ascii="FangSong" w:hAnsi="FangSong" w:eastAsia="FangSong"/>
          <w:sz w:val="32"/>
          <w:szCs w:val="32"/>
        </w:rPr>
      </w:pPr>
      <w:r>
        <w:rPr>
          <w:rFonts w:hint="eastAsia" w:ascii="FangSong" w:hAnsi="FangSong" w:eastAsia="FangSong"/>
          <w:b/>
          <w:sz w:val="32"/>
          <w:szCs w:val="32"/>
        </w:rPr>
        <w:t>对外经济贸易</w:t>
      </w:r>
      <w:r>
        <w:rPr>
          <w:rFonts w:hint="eastAsia" w:ascii="FangSong" w:hAnsi="FangSong" w:eastAsia="FangSong"/>
          <w:sz w:val="32"/>
          <w:szCs w:val="32"/>
        </w:rPr>
        <w:t>，全年全市进出口总额534.6亿元，比上年增长13.0%。其中，出口总额268.2亿元，增长44.2%；进口总额266.3亿元，下降7.2%。全年利用外资（注册资本项下）完成4152万美元，第二产业占99.8%，第三产业占0.2%。全年备案初审对外投资项目4个，总投资额334.1万美元，中方投资额250.2万美元。</w:t>
      </w:r>
    </w:p>
    <w:p w14:paraId="389CE6FB">
      <w:pPr>
        <w:ind w:firstLine="636"/>
        <w:rPr>
          <w:rFonts w:ascii="FangSong" w:hAnsi="FangSong" w:eastAsia="FangSong"/>
          <w:sz w:val="32"/>
          <w:szCs w:val="32"/>
        </w:rPr>
      </w:pPr>
      <w:r>
        <w:rPr>
          <w:rFonts w:hint="eastAsia" w:ascii="FangSong" w:hAnsi="FangSong" w:eastAsia="FangSong"/>
          <w:sz w:val="32"/>
          <w:szCs w:val="32"/>
        </w:rPr>
        <w:t>全年一般公共预算收入141.4亿元，比上年增长4.2%。其中，税收收入112.4亿元，增长5.9%。全年一般公共预算支出255.5亿元，比上年下降3.4%。其中，城乡社区服务支出30.0亿元，增长11.2%；卫生健康支出18.6亿元，增长10.8%；公共安全支出12.7亿元，增长10.6%；住房保障支出11.2亿元，增长14.9%；科学技术支出7867万元，增长14.1%。</w:t>
      </w:r>
    </w:p>
    <w:p w14:paraId="69F0F715">
      <w:pPr>
        <w:ind w:firstLine="636"/>
        <w:rPr>
          <w:rFonts w:ascii="FangSong" w:hAnsi="FangSong" w:eastAsia="FangSong"/>
          <w:sz w:val="32"/>
          <w:szCs w:val="32"/>
        </w:rPr>
      </w:pPr>
      <w:r>
        <w:rPr>
          <w:rFonts w:hint="eastAsia" w:ascii="FangSong" w:hAnsi="FangSong" w:eastAsia="FangSong"/>
          <w:sz w:val="32"/>
          <w:szCs w:val="32"/>
        </w:rPr>
        <w:t>年末金融机构本外币各项存款余额3564.5亿元，比年初减少352.3亿元，同比下降9.0%。人民币各项存款余额3546.4亿元，比年初减少355.5亿元，下降9.1%。年末金融机构本外币各项贷款余额2224.1亿元，比年初减少419.2亿元，同比下降15.9%。人民币各项贷款余额2198.5亿元，比年初减少426.3亿元，下降16.2%。</w:t>
      </w:r>
    </w:p>
    <w:p w14:paraId="0EEE0CEA">
      <w:pPr>
        <w:ind w:firstLine="636"/>
        <w:rPr>
          <w:rFonts w:ascii="FangSong" w:hAnsi="FangSong" w:eastAsia="FangSong"/>
          <w:sz w:val="32"/>
          <w:szCs w:val="32"/>
        </w:rPr>
      </w:pPr>
      <w:r>
        <w:rPr>
          <w:rFonts w:hint="eastAsia" w:ascii="FangSong" w:hAnsi="FangSong" w:eastAsia="FangSong"/>
          <w:sz w:val="32"/>
          <w:szCs w:val="32"/>
        </w:rPr>
        <w:t>年末有保险经营主体共52家，其中财险公司24家，寿险公司28家。各级保险机构共193个，其中中心级支公司52个，县区级支公司77个，营销服务部64个，保险从业人员共计11179人。全年实现总保费收入62.28亿元，与上年保费总量持平。其中财产保险收入26.18亿元，同比下降0.2%，寿险保费收入36.1亿元，增长0.17%。保险深度（保险费与地区GDP之比）为4.44%，较上年下降0.26个百分点；保险密度（人均保险费）为2675元，同比增加113元。</w:t>
      </w:r>
    </w:p>
    <w:p w14:paraId="0A032EFD">
      <w:pPr>
        <w:ind w:firstLine="643" w:firstLineChars="200"/>
        <w:rPr>
          <w:rFonts w:ascii="FangSong" w:hAnsi="FangSong" w:eastAsia="FangSong"/>
          <w:b/>
          <w:sz w:val="32"/>
          <w:szCs w:val="32"/>
        </w:rPr>
      </w:pPr>
      <w:r>
        <w:rPr>
          <w:rFonts w:hint="eastAsia" w:ascii="FangSong" w:hAnsi="FangSong" w:eastAsia="FangSong"/>
          <w:b/>
          <w:sz w:val="32"/>
          <w:szCs w:val="32"/>
        </w:rPr>
        <w:t>六、产业投资生产要素指标参考</w:t>
      </w:r>
    </w:p>
    <w:p w14:paraId="67A0678E">
      <w:pPr>
        <w:ind w:firstLine="640" w:firstLineChars="200"/>
        <w:rPr>
          <w:rFonts w:ascii="FangSong" w:hAnsi="FangSong" w:eastAsia="FangSong"/>
          <w:sz w:val="32"/>
          <w:szCs w:val="32"/>
        </w:rPr>
      </w:pPr>
      <w:r>
        <w:rPr>
          <w:rFonts w:hint="eastAsia" w:ascii="FangSong" w:hAnsi="FangSong" w:eastAsia="FangSong"/>
          <w:sz w:val="32"/>
          <w:szCs w:val="32"/>
        </w:rPr>
        <w:t>营口生产要素齐备，尤其是土地资源充沛，有大量的国有存量工业用地，全市“七通一平”土地面积达到200平方公里以上，工业用地价格平均在288元/平方米。全市发电机组总装机容量已达到289.5万千瓦，日供水能力达53.4万立方米，日供电能力300万千瓦，日供天然气能力50万立方米。营口人力资源丰富，全市有1所本科大学、2所专科学院、15所中等职业学校，拥有50多万熟练的产业工人，每年培养1万多名大中专毕业生，专业技术人才总量达到37.9万人，为经济发展提供有效的人力资源保障。营口已探明地下矿藏39种，其中菱镁矿保有储量3亿吨，镁质材料储量居世界首位，素有“中国镁都”之称。</w:t>
      </w:r>
    </w:p>
    <w:p w14:paraId="38CC0ACF">
      <w:pPr>
        <w:ind w:firstLine="643" w:firstLineChars="200"/>
        <w:rPr>
          <w:rFonts w:ascii="FangSong" w:hAnsi="FangSong" w:eastAsia="FangSong"/>
          <w:b/>
          <w:sz w:val="32"/>
          <w:szCs w:val="32"/>
        </w:rPr>
      </w:pPr>
      <w:r>
        <w:rPr>
          <w:rFonts w:hint="eastAsia" w:ascii="FangSong" w:hAnsi="FangSong" w:eastAsia="FangSong"/>
          <w:b/>
          <w:sz w:val="32"/>
          <w:szCs w:val="32"/>
        </w:rPr>
        <w:t>七、环境优势</w:t>
      </w:r>
    </w:p>
    <w:p w14:paraId="53708562">
      <w:pPr>
        <w:ind w:firstLine="640" w:firstLineChars="200"/>
        <w:rPr>
          <w:rFonts w:ascii="FangSong" w:hAnsi="FangSong" w:eastAsia="FangSong"/>
          <w:sz w:val="32"/>
          <w:szCs w:val="32"/>
        </w:rPr>
      </w:pPr>
      <w:r>
        <w:rPr>
          <w:rFonts w:hint="eastAsia" w:ascii="FangSong" w:hAnsi="FangSong" w:eastAsia="FangSong"/>
          <w:sz w:val="32"/>
          <w:szCs w:val="32"/>
        </w:rPr>
        <w:t>自然环境方面，营口是东北老工业基地振兴、国家“一带一路”、沈阳经济区建设、国家自贸区建设等国家战略叠加区域，也是国家评定的全国投资环境40优城市之一，是全国金融生态城市、全国优秀旅游城市和中国十大特色休闲城市，被评为“2016中国最具魅力宜居宜业宜游旅游城市”。</w:t>
      </w:r>
    </w:p>
    <w:p w14:paraId="70CB7017">
      <w:pPr>
        <w:ind w:firstLine="640" w:firstLineChars="200"/>
        <w:rPr>
          <w:rFonts w:ascii="FangSong" w:hAnsi="FangSong" w:eastAsia="FangSong"/>
          <w:sz w:val="32"/>
          <w:szCs w:val="32"/>
        </w:rPr>
      </w:pPr>
      <w:r>
        <w:rPr>
          <w:rFonts w:hint="eastAsia" w:ascii="FangSong" w:hAnsi="FangSong" w:eastAsia="FangSong"/>
          <w:sz w:val="32"/>
          <w:szCs w:val="32"/>
        </w:rPr>
        <w:t>营商环境方面，营口片区累计推出创新政策402项，创新案例141项，其中4项在全国复制推广，33项案例在全省复制推广，109项案例在全市复制推广。营口片区坚持以制度创新为核心，以“放管服”改革为抓手，着力于打造全国最优营商环境。</w:t>
      </w:r>
    </w:p>
    <w:p w14:paraId="2C0E327E">
      <w:pPr>
        <w:ind w:firstLine="643" w:firstLineChars="200"/>
        <w:rPr>
          <w:rFonts w:ascii="FangSong" w:hAnsi="FangSong" w:eastAsia="FangSong"/>
          <w:sz w:val="32"/>
          <w:szCs w:val="32"/>
        </w:rPr>
      </w:pPr>
      <w:r>
        <w:rPr>
          <w:rFonts w:hint="eastAsia" w:ascii="FangSong" w:hAnsi="FangSong" w:eastAsia="FangSong"/>
          <w:b/>
          <w:sz w:val="32"/>
          <w:szCs w:val="32"/>
        </w:rPr>
        <w:t>围绕“放”，</w:t>
      </w:r>
      <w:r>
        <w:rPr>
          <w:rFonts w:hint="eastAsia" w:ascii="FangSong" w:hAnsi="FangSong" w:eastAsia="FangSong"/>
          <w:sz w:val="32"/>
          <w:szCs w:val="32"/>
        </w:rPr>
        <w:t>承接省、市政府审批权限334项，全国首创“60证合一”商事改革和三个“一”的企业开办法，实现开办企业一窗受理、半天办结，形成了更具竞争力和比较优势的开办企业模式；出台了落实“证照分离”改革全覆盖试点工作方案，推动了营口片区在市场准入领域更进一步的“先照后证”，凸显了自贸试验区制度高地优势。推出工业用地挂牌出让流程创新和一般类工业项目审批流程改革，实现将土地挂牌用时由110天左右缩短至45天左右，一般类工业建设项目审批从135个工作日精简至15个工作日，创新模式和效果全国领先。对不涉及负面清单的外国投资者实施国民待遇，提出了“外国及港澳台投资者主体资格认证创新模式”，实现了外国投资者与中国企业或公民同等条件设立企业。</w:t>
      </w:r>
    </w:p>
    <w:p w14:paraId="19A26439">
      <w:pPr>
        <w:ind w:firstLine="643" w:firstLineChars="200"/>
        <w:rPr>
          <w:rFonts w:ascii="FangSong" w:hAnsi="FangSong" w:eastAsia="FangSong"/>
          <w:sz w:val="32"/>
          <w:szCs w:val="32"/>
        </w:rPr>
      </w:pPr>
      <w:r>
        <w:rPr>
          <w:rFonts w:hint="eastAsia" w:ascii="FangSong" w:hAnsi="FangSong" w:eastAsia="FangSong"/>
          <w:b/>
          <w:sz w:val="32"/>
          <w:szCs w:val="32"/>
        </w:rPr>
        <w:t>围绕“管”，</w:t>
      </w:r>
      <w:r>
        <w:rPr>
          <w:rFonts w:hint="eastAsia" w:ascii="FangSong" w:hAnsi="FangSong" w:eastAsia="FangSong"/>
          <w:sz w:val="32"/>
          <w:szCs w:val="32"/>
        </w:rPr>
        <w:t>营口片区在全国首创“16+X”集成化综合监管模式,将原来由16个执法部门行使的行政职权集中整合到1个部门行使，实现了“多帽合一”，并在“双随机一公开”基础上，创新推出“三随机三公开”监管方式，在多领域实施“包容免罚”清单模式，营造了公开透明的执法检查环境，用有效的“管”保障有力的“放”，给予了市场最大的包容空间和创新空间。</w:t>
      </w:r>
    </w:p>
    <w:p w14:paraId="05D1C31F">
      <w:pPr>
        <w:ind w:firstLine="643" w:firstLineChars="200"/>
        <w:rPr>
          <w:rFonts w:ascii="FangSong" w:hAnsi="FangSong" w:eastAsia="FangSong"/>
          <w:sz w:val="32"/>
          <w:szCs w:val="32"/>
        </w:rPr>
      </w:pPr>
      <w:r>
        <w:rPr>
          <w:rFonts w:hint="eastAsia" w:ascii="FangSong" w:hAnsi="FangSong" w:eastAsia="FangSong"/>
          <w:b/>
          <w:sz w:val="32"/>
          <w:szCs w:val="32"/>
        </w:rPr>
        <w:t>围绕“服”，</w:t>
      </w:r>
      <w:r>
        <w:rPr>
          <w:rFonts w:hint="eastAsia" w:ascii="FangSong" w:hAnsi="FangSong" w:eastAsia="FangSong"/>
          <w:sz w:val="32"/>
          <w:szCs w:val="32"/>
        </w:rPr>
        <w:t>营口片区专门成立了企业服务中心，集中开展企业、项目“四个一”帮扶工作，组成15个企业帮扶、项目帮扶小组，对投产运营企业和在建项目实行“一个单位、一个领导、一个团队、一包到底”的定向帮扶服务；创新“无人机+多媒体”闲置资产管理服务新模式，将传统电子表格台账转变为多媒体电子台账，提升了政府对企业的服务水平；出台《营口片区解决企业不动产登记历史遗留问题实施方案》，为解决历史遗留问题提出了系统的解决方案，为企业盘活资产、转型升级奠定了基础。</w:t>
      </w:r>
    </w:p>
    <w:p w14:paraId="7A67E585">
      <w:pPr>
        <w:ind w:firstLine="643" w:firstLineChars="200"/>
        <w:rPr>
          <w:rFonts w:ascii="FangSong" w:hAnsi="FangSong" w:eastAsia="FangSong"/>
          <w:sz w:val="32"/>
          <w:szCs w:val="32"/>
        </w:rPr>
      </w:pPr>
      <w:r>
        <w:rPr>
          <w:rFonts w:hint="eastAsia" w:ascii="FangSong" w:hAnsi="FangSong" w:eastAsia="FangSong"/>
          <w:b/>
          <w:sz w:val="32"/>
          <w:szCs w:val="32"/>
        </w:rPr>
        <w:t>八、政策支持体系</w:t>
      </w:r>
    </w:p>
    <w:p w14:paraId="55C3B749">
      <w:pPr>
        <w:ind w:firstLine="640" w:firstLineChars="200"/>
        <w:rPr>
          <w:rFonts w:ascii="FangSong" w:hAnsi="FangSong" w:eastAsia="FangSong"/>
          <w:sz w:val="32"/>
          <w:szCs w:val="32"/>
        </w:rPr>
      </w:pPr>
      <w:r>
        <w:rPr>
          <w:rFonts w:hint="eastAsia" w:ascii="FangSong" w:hAnsi="FangSong" w:eastAsia="FangSong"/>
          <w:sz w:val="32"/>
          <w:szCs w:val="32"/>
        </w:rPr>
        <w:t>中国（辽宁）自由贸易试验区营口片区产业扶持政策三十条</w:t>
      </w:r>
    </w:p>
    <w:bookmarkEnd w:id="4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8B9"/>
    <w:rsid w:val="000059AE"/>
    <w:rsid w:val="00014799"/>
    <w:rsid w:val="00032E3B"/>
    <w:rsid w:val="00033277"/>
    <w:rsid w:val="00053BE2"/>
    <w:rsid w:val="00054008"/>
    <w:rsid w:val="0005638B"/>
    <w:rsid w:val="00065DDC"/>
    <w:rsid w:val="00067AA5"/>
    <w:rsid w:val="000739CB"/>
    <w:rsid w:val="00076C91"/>
    <w:rsid w:val="0007775C"/>
    <w:rsid w:val="00080F25"/>
    <w:rsid w:val="000849C8"/>
    <w:rsid w:val="0008536E"/>
    <w:rsid w:val="000A1FC4"/>
    <w:rsid w:val="000A7981"/>
    <w:rsid w:val="000B5094"/>
    <w:rsid w:val="000C3E55"/>
    <w:rsid w:val="000D2235"/>
    <w:rsid w:val="000D29B1"/>
    <w:rsid w:val="000D7EDE"/>
    <w:rsid w:val="000E6C26"/>
    <w:rsid w:val="000F61F5"/>
    <w:rsid w:val="00100462"/>
    <w:rsid w:val="001031CA"/>
    <w:rsid w:val="00114297"/>
    <w:rsid w:val="00116F8C"/>
    <w:rsid w:val="001219B3"/>
    <w:rsid w:val="001233A9"/>
    <w:rsid w:val="001328C5"/>
    <w:rsid w:val="00133E5F"/>
    <w:rsid w:val="00147E9F"/>
    <w:rsid w:val="001550F1"/>
    <w:rsid w:val="00162FCF"/>
    <w:rsid w:val="00177180"/>
    <w:rsid w:val="00181461"/>
    <w:rsid w:val="00185CED"/>
    <w:rsid w:val="001960B5"/>
    <w:rsid w:val="001A3267"/>
    <w:rsid w:val="001A5035"/>
    <w:rsid w:val="001A692E"/>
    <w:rsid w:val="001C206A"/>
    <w:rsid w:val="001C522B"/>
    <w:rsid w:val="001C78BB"/>
    <w:rsid w:val="001D29AC"/>
    <w:rsid w:val="001E325E"/>
    <w:rsid w:val="001E3E12"/>
    <w:rsid w:val="001E54F0"/>
    <w:rsid w:val="001F2E6B"/>
    <w:rsid w:val="001F558C"/>
    <w:rsid w:val="0020104B"/>
    <w:rsid w:val="00203A82"/>
    <w:rsid w:val="00213CFA"/>
    <w:rsid w:val="002274EE"/>
    <w:rsid w:val="0023144C"/>
    <w:rsid w:val="002335D9"/>
    <w:rsid w:val="0024748D"/>
    <w:rsid w:val="0025110A"/>
    <w:rsid w:val="00260A0A"/>
    <w:rsid w:val="00266A1A"/>
    <w:rsid w:val="00273280"/>
    <w:rsid w:val="002777C6"/>
    <w:rsid w:val="00281CD5"/>
    <w:rsid w:val="002903EB"/>
    <w:rsid w:val="00291840"/>
    <w:rsid w:val="0029488C"/>
    <w:rsid w:val="002A2C35"/>
    <w:rsid w:val="002A3771"/>
    <w:rsid w:val="002A4A7F"/>
    <w:rsid w:val="002A5569"/>
    <w:rsid w:val="002A5FED"/>
    <w:rsid w:val="002A6191"/>
    <w:rsid w:val="002B1158"/>
    <w:rsid w:val="002B44FD"/>
    <w:rsid w:val="002B513E"/>
    <w:rsid w:val="002B6B62"/>
    <w:rsid w:val="002D4F6B"/>
    <w:rsid w:val="002E60D4"/>
    <w:rsid w:val="002F0481"/>
    <w:rsid w:val="002F4BD6"/>
    <w:rsid w:val="003000AA"/>
    <w:rsid w:val="00304D66"/>
    <w:rsid w:val="0030661A"/>
    <w:rsid w:val="003400A5"/>
    <w:rsid w:val="0035390A"/>
    <w:rsid w:val="00360A28"/>
    <w:rsid w:val="00361AA3"/>
    <w:rsid w:val="0036273B"/>
    <w:rsid w:val="00373638"/>
    <w:rsid w:val="003758CA"/>
    <w:rsid w:val="0037606D"/>
    <w:rsid w:val="00376595"/>
    <w:rsid w:val="00386CB0"/>
    <w:rsid w:val="003A6398"/>
    <w:rsid w:val="003C3754"/>
    <w:rsid w:val="003D24FA"/>
    <w:rsid w:val="003E4A55"/>
    <w:rsid w:val="003E6668"/>
    <w:rsid w:val="003F1DE3"/>
    <w:rsid w:val="00405AB5"/>
    <w:rsid w:val="00405ED6"/>
    <w:rsid w:val="004069B4"/>
    <w:rsid w:val="0040759E"/>
    <w:rsid w:val="0041706A"/>
    <w:rsid w:val="00425DD3"/>
    <w:rsid w:val="0043722F"/>
    <w:rsid w:val="004379CF"/>
    <w:rsid w:val="00437EFD"/>
    <w:rsid w:val="0045096C"/>
    <w:rsid w:val="00452FB3"/>
    <w:rsid w:val="0045541F"/>
    <w:rsid w:val="0045595E"/>
    <w:rsid w:val="004608BC"/>
    <w:rsid w:val="00472AB5"/>
    <w:rsid w:val="00474AC9"/>
    <w:rsid w:val="00482F74"/>
    <w:rsid w:val="00486A67"/>
    <w:rsid w:val="004A2C80"/>
    <w:rsid w:val="004A2D3D"/>
    <w:rsid w:val="004A416E"/>
    <w:rsid w:val="004C078A"/>
    <w:rsid w:val="004C2DC6"/>
    <w:rsid w:val="004C4E4B"/>
    <w:rsid w:val="004C5918"/>
    <w:rsid w:val="004D412D"/>
    <w:rsid w:val="004D7D73"/>
    <w:rsid w:val="004E25D7"/>
    <w:rsid w:val="004F253F"/>
    <w:rsid w:val="004F5017"/>
    <w:rsid w:val="004F64D0"/>
    <w:rsid w:val="004F7005"/>
    <w:rsid w:val="004F772D"/>
    <w:rsid w:val="0050132E"/>
    <w:rsid w:val="00501AE3"/>
    <w:rsid w:val="00501AEE"/>
    <w:rsid w:val="005058F8"/>
    <w:rsid w:val="00547B7C"/>
    <w:rsid w:val="005551FB"/>
    <w:rsid w:val="00555FC7"/>
    <w:rsid w:val="00563C3E"/>
    <w:rsid w:val="00577EA9"/>
    <w:rsid w:val="00591878"/>
    <w:rsid w:val="005967C7"/>
    <w:rsid w:val="00596AAB"/>
    <w:rsid w:val="005A0FDA"/>
    <w:rsid w:val="005A5F15"/>
    <w:rsid w:val="005A6B1C"/>
    <w:rsid w:val="005A7E36"/>
    <w:rsid w:val="005B2AA5"/>
    <w:rsid w:val="005B2FA8"/>
    <w:rsid w:val="005D53D2"/>
    <w:rsid w:val="005E09EF"/>
    <w:rsid w:val="005E3C51"/>
    <w:rsid w:val="00601DFF"/>
    <w:rsid w:val="006121B2"/>
    <w:rsid w:val="0061220D"/>
    <w:rsid w:val="006133A3"/>
    <w:rsid w:val="0061607A"/>
    <w:rsid w:val="00621FF2"/>
    <w:rsid w:val="006226B9"/>
    <w:rsid w:val="006250A8"/>
    <w:rsid w:val="006271A2"/>
    <w:rsid w:val="00642C91"/>
    <w:rsid w:val="00652D6C"/>
    <w:rsid w:val="006567F5"/>
    <w:rsid w:val="00656E58"/>
    <w:rsid w:val="006575BE"/>
    <w:rsid w:val="00665226"/>
    <w:rsid w:val="00672879"/>
    <w:rsid w:val="00681F85"/>
    <w:rsid w:val="0069082A"/>
    <w:rsid w:val="006B23A3"/>
    <w:rsid w:val="006B5C13"/>
    <w:rsid w:val="006B6BD9"/>
    <w:rsid w:val="006C47EA"/>
    <w:rsid w:val="006C6B85"/>
    <w:rsid w:val="006C6F41"/>
    <w:rsid w:val="006D3EB1"/>
    <w:rsid w:val="006D4688"/>
    <w:rsid w:val="006E2B79"/>
    <w:rsid w:val="006E412C"/>
    <w:rsid w:val="006E7135"/>
    <w:rsid w:val="006F2787"/>
    <w:rsid w:val="006F51AF"/>
    <w:rsid w:val="006F7DB4"/>
    <w:rsid w:val="00706DD5"/>
    <w:rsid w:val="007105F4"/>
    <w:rsid w:val="00714DB9"/>
    <w:rsid w:val="00717E4B"/>
    <w:rsid w:val="00743864"/>
    <w:rsid w:val="00747576"/>
    <w:rsid w:val="007820E6"/>
    <w:rsid w:val="00791607"/>
    <w:rsid w:val="007B0374"/>
    <w:rsid w:val="007B1365"/>
    <w:rsid w:val="007B62E7"/>
    <w:rsid w:val="007B682D"/>
    <w:rsid w:val="007C7918"/>
    <w:rsid w:val="007D59A6"/>
    <w:rsid w:val="007E05FC"/>
    <w:rsid w:val="007F70FF"/>
    <w:rsid w:val="0080564B"/>
    <w:rsid w:val="00810DFD"/>
    <w:rsid w:val="00814D11"/>
    <w:rsid w:val="00825306"/>
    <w:rsid w:val="0083156B"/>
    <w:rsid w:val="00831C45"/>
    <w:rsid w:val="0083602D"/>
    <w:rsid w:val="00843D2D"/>
    <w:rsid w:val="008455C8"/>
    <w:rsid w:val="0085187B"/>
    <w:rsid w:val="00851D0C"/>
    <w:rsid w:val="00862C30"/>
    <w:rsid w:val="00865673"/>
    <w:rsid w:val="0086767C"/>
    <w:rsid w:val="008A6CC8"/>
    <w:rsid w:val="008C6459"/>
    <w:rsid w:val="008E0BCB"/>
    <w:rsid w:val="008F066E"/>
    <w:rsid w:val="008F2B10"/>
    <w:rsid w:val="008F3112"/>
    <w:rsid w:val="009079DC"/>
    <w:rsid w:val="00912A01"/>
    <w:rsid w:val="00921FC4"/>
    <w:rsid w:val="00923485"/>
    <w:rsid w:val="00925A91"/>
    <w:rsid w:val="009356F0"/>
    <w:rsid w:val="00935C19"/>
    <w:rsid w:val="0094648E"/>
    <w:rsid w:val="00956A67"/>
    <w:rsid w:val="009630E4"/>
    <w:rsid w:val="0096708D"/>
    <w:rsid w:val="00973044"/>
    <w:rsid w:val="0097566D"/>
    <w:rsid w:val="009773CC"/>
    <w:rsid w:val="009837B2"/>
    <w:rsid w:val="00985A0D"/>
    <w:rsid w:val="00986782"/>
    <w:rsid w:val="009B0D73"/>
    <w:rsid w:val="009B5316"/>
    <w:rsid w:val="009C0D18"/>
    <w:rsid w:val="009C4980"/>
    <w:rsid w:val="009D4BB2"/>
    <w:rsid w:val="009E13B9"/>
    <w:rsid w:val="009E2C87"/>
    <w:rsid w:val="009E763F"/>
    <w:rsid w:val="009F2A83"/>
    <w:rsid w:val="009F55AA"/>
    <w:rsid w:val="00A03D72"/>
    <w:rsid w:val="00A10169"/>
    <w:rsid w:val="00A143EC"/>
    <w:rsid w:val="00A14BC3"/>
    <w:rsid w:val="00A2199D"/>
    <w:rsid w:val="00A21E07"/>
    <w:rsid w:val="00A23BA7"/>
    <w:rsid w:val="00A303B5"/>
    <w:rsid w:val="00A377E5"/>
    <w:rsid w:val="00A536CA"/>
    <w:rsid w:val="00A54E7B"/>
    <w:rsid w:val="00A63C12"/>
    <w:rsid w:val="00A713BA"/>
    <w:rsid w:val="00A71B26"/>
    <w:rsid w:val="00A74B63"/>
    <w:rsid w:val="00A754DC"/>
    <w:rsid w:val="00A83A21"/>
    <w:rsid w:val="00A86168"/>
    <w:rsid w:val="00A867E5"/>
    <w:rsid w:val="00A875D3"/>
    <w:rsid w:val="00A92B79"/>
    <w:rsid w:val="00AB19F0"/>
    <w:rsid w:val="00AB460A"/>
    <w:rsid w:val="00AD029A"/>
    <w:rsid w:val="00AD7D40"/>
    <w:rsid w:val="00AE48D7"/>
    <w:rsid w:val="00AF3175"/>
    <w:rsid w:val="00B0797D"/>
    <w:rsid w:val="00B12AB1"/>
    <w:rsid w:val="00B147AE"/>
    <w:rsid w:val="00B20377"/>
    <w:rsid w:val="00B43F41"/>
    <w:rsid w:val="00B44C7A"/>
    <w:rsid w:val="00B50576"/>
    <w:rsid w:val="00B561A7"/>
    <w:rsid w:val="00B60F92"/>
    <w:rsid w:val="00B61CC5"/>
    <w:rsid w:val="00B93BBD"/>
    <w:rsid w:val="00BA3328"/>
    <w:rsid w:val="00BA5198"/>
    <w:rsid w:val="00BB15CF"/>
    <w:rsid w:val="00BB486B"/>
    <w:rsid w:val="00BB50FA"/>
    <w:rsid w:val="00BC16DE"/>
    <w:rsid w:val="00BC27AF"/>
    <w:rsid w:val="00BC755B"/>
    <w:rsid w:val="00BD7751"/>
    <w:rsid w:val="00BE0D70"/>
    <w:rsid w:val="00BE5CA0"/>
    <w:rsid w:val="00BE5ED2"/>
    <w:rsid w:val="00BF0A76"/>
    <w:rsid w:val="00BF4DEE"/>
    <w:rsid w:val="00BF53D4"/>
    <w:rsid w:val="00C02294"/>
    <w:rsid w:val="00C07666"/>
    <w:rsid w:val="00C179C3"/>
    <w:rsid w:val="00C32A71"/>
    <w:rsid w:val="00C33666"/>
    <w:rsid w:val="00C44703"/>
    <w:rsid w:val="00C464E6"/>
    <w:rsid w:val="00C51EDC"/>
    <w:rsid w:val="00C54C85"/>
    <w:rsid w:val="00C570B7"/>
    <w:rsid w:val="00C576C9"/>
    <w:rsid w:val="00C64A1B"/>
    <w:rsid w:val="00C73FF5"/>
    <w:rsid w:val="00C758B9"/>
    <w:rsid w:val="00C83E36"/>
    <w:rsid w:val="00C84AE1"/>
    <w:rsid w:val="00C9301B"/>
    <w:rsid w:val="00C95C43"/>
    <w:rsid w:val="00CA4BCB"/>
    <w:rsid w:val="00CA5548"/>
    <w:rsid w:val="00CB1455"/>
    <w:rsid w:val="00CB2A5A"/>
    <w:rsid w:val="00CB6C44"/>
    <w:rsid w:val="00CC3AF1"/>
    <w:rsid w:val="00CE0C71"/>
    <w:rsid w:val="00CE6D33"/>
    <w:rsid w:val="00CF12C7"/>
    <w:rsid w:val="00CF1FEC"/>
    <w:rsid w:val="00D07D98"/>
    <w:rsid w:val="00D14D03"/>
    <w:rsid w:val="00D17C7D"/>
    <w:rsid w:val="00D2513E"/>
    <w:rsid w:val="00D31609"/>
    <w:rsid w:val="00D33D15"/>
    <w:rsid w:val="00D570A0"/>
    <w:rsid w:val="00D6003A"/>
    <w:rsid w:val="00D70056"/>
    <w:rsid w:val="00D70E35"/>
    <w:rsid w:val="00D75DE4"/>
    <w:rsid w:val="00D76476"/>
    <w:rsid w:val="00D7762E"/>
    <w:rsid w:val="00D805D0"/>
    <w:rsid w:val="00D81A21"/>
    <w:rsid w:val="00D8608E"/>
    <w:rsid w:val="00D876BC"/>
    <w:rsid w:val="00D9633C"/>
    <w:rsid w:val="00DA4E34"/>
    <w:rsid w:val="00DA67B0"/>
    <w:rsid w:val="00DB0FE9"/>
    <w:rsid w:val="00DC493F"/>
    <w:rsid w:val="00DC4AD7"/>
    <w:rsid w:val="00DC5749"/>
    <w:rsid w:val="00DC6470"/>
    <w:rsid w:val="00DD44F1"/>
    <w:rsid w:val="00DD62BD"/>
    <w:rsid w:val="00DD740D"/>
    <w:rsid w:val="00E03DCE"/>
    <w:rsid w:val="00E106E3"/>
    <w:rsid w:val="00E151F6"/>
    <w:rsid w:val="00E2293D"/>
    <w:rsid w:val="00E331C2"/>
    <w:rsid w:val="00E3350B"/>
    <w:rsid w:val="00E33A47"/>
    <w:rsid w:val="00E377B1"/>
    <w:rsid w:val="00E415F3"/>
    <w:rsid w:val="00E46102"/>
    <w:rsid w:val="00E55D2F"/>
    <w:rsid w:val="00E60209"/>
    <w:rsid w:val="00E608C0"/>
    <w:rsid w:val="00E63D40"/>
    <w:rsid w:val="00E75238"/>
    <w:rsid w:val="00E76657"/>
    <w:rsid w:val="00E77990"/>
    <w:rsid w:val="00EA767C"/>
    <w:rsid w:val="00EB2F14"/>
    <w:rsid w:val="00EB64E4"/>
    <w:rsid w:val="00EC5D7C"/>
    <w:rsid w:val="00ED2AB1"/>
    <w:rsid w:val="00ED4D48"/>
    <w:rsid w:val="00ED5F1C"/>
    <w:rsid w:val="00EE1024"/>
    <w:rsid w:val="00EE51AE"/>
    <w:rsid w:val="00EE7509"/>
    <w:rsid w:val="00EF573D"/>
    <w:rsid w:val="00F03C6B"/>
    <w:rsid w:val="00F0466D"/>
    <w:rsid w:val="00F134CF"/>
    <w:rsid w:val="00F246AC"/>
    <w:rsid w:val="00F31D4C"/>
    <w:rsid w:val="00F331BF"/>
    <w:rsid w:val="00F332E4"/>
    <w:rsid w:val="00F36421"/>
    <w:rsid w:val="00F50692"/>
    <w:rsid w:val="00F54588"/>
    <w:rsid w:val="00F55B22"/>
    <w:rsid w:val="00F57744"/>
    <w:rsid w:val="00F609C7"/>
    <w:rsid w:val="00F6435D"/>
    <w:rsid w:val="00F645B0"/>
    <w:rsid w:val="00F675D9"/>
    <w:rsid w:val="00F70060"/>
    <w:rsid w:val="00F74558"/>
    <w:rsid w:val="00F7469B"/>
    <w:rsid w:val="00F83E0E"/>
    <w:rsid w:val="00F8439F"/>
    <w:rsid w:val="00FA1106"/>
    <w:rsid w:val="00FA1E05"/>
    <w:rsid w:val="00FA5CE1"/>
    <w:rsid w:val="00FA6945"/>
    <w:rsid w:val="00FB51E2"/>
    <w:rsid w:val="00FB5ED1"/>
    <w:rsid w:val="00FC2FFE"/>
    <w:rsid w:val="00FC5AD7"/>
    <w:rsid w:val="00FC7B30"/>
    <w:rsid w:val="00FE1091"/>
    <w:rsid w:val="00FE14FB"/>
    <w:rsid w:val="00FE4831"/>
    <w:rsid w:val="00FF532A"/>
    <w:rsid w:val="00FF54BA"/>
    <w:rsid w:val="17E770DF"/>
    <w:rsid w:val="18095A0D"/>
    <w:rsid w:val="3D4B3477"/>
    <w:rsid w:val="45277E01"/>
    <w:rsid w:val="7CAC35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SimSun" w:hAnsi="SimSun" w:eastAsia="SimSun" w:cs="SimSun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  <w:style w:type="paragraph" w:customStyle="1" w:styleId="12">
    <w:name w:val="普通(网站)1"/>
    <w:basedOn w:val="1"/>
    <w:uiPriority w:val="0"/>
    <w:pPr>
      <w:widowControl/>
      <w:spacing w:before="100" w:beforeAutospacing="1" w:after="100" w:afterAutospacing="1"/>
      <w:jc w:val="left"/>
    </w:pPr>
    <w:rPr>
      <w:rFonts w:ascii="SimSun" w:hAnsi="SimSun" w:eastAsia="SimSun" w:cs="SimSun"/>
      <w:kern w:val="0"/>
      <w:sz w:val="24"/>
      <w:szCs w:val="24"/>
    </w:rPr>
  </w:style>
  <w:style w:type="paragraph" w:styleId="13">
    <w:name w:val="List Paragraph"/>
    <w:basedOn w:val="1"/>
    <w:unhideWhenUsed/>
    <w:uiPriority w:val="99"/>
    <w:pPr>
      <w:ind w:firstLine="420" w:firstLineChars="200"/>
    </w:pPr>
  </w:style>
  <w:style w:type="paragraph" w:customStyle="1" w:styleId="14">
    <w:name w:val="reader-word-layer"/>
    <w:basedOn w:val="1"/>
    <w:uiPriority w:val="0"/>
    <w:pPr>
      <w:widowControl/>
      <w:spacing w:before="100" w:beforeAutospacing="1" w:after="100" w:afterAutospacing="1"/>
      <w:jc w:val="left"/>
    </w:pPr>
    <w:rPr>
      <w:rFonts w:ascii="SimSun" w:hAnsi="SimSun" w:eastAsia="SimSun" w:cs="SimSun"/>
      <w:kern w:val="0"/>
      <w:sz w:val="24"/>
      <w:szCs w:val="24"/>
    </w:rPr>
  </w:style>
  <w:style w:type="character" w:customStyle="1" w:styleId="15">
    <w:name w:val="Subtle Emphasis"/>
    <w:basedOn w:val="7"/>
    <w:qFormat/>
    <w:uiPriority w:val="19"/>
    <w:rPr>
      <w:i/>
      <w:iCs/>
      <w:color w:val="7F7F7F" w:themeColor="text1" w:themeTint="7F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4021</Words>
  <Characters>4502</Characters>
  <Lines>32</Lines>
  <Paragraphs>9</Paragraphs>
  <TotalTime>657</TotalTime>
  <ScaleCrop>false</ScaleCrop>
  <LinksUpToDate>false</LinksUpToDate>
  <CharactersWithSpaces>4504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2016-12-27T08:29:00Z</dcterms:created>
  <dc:creator>zmq</dc:creator>
  <cp:lastModifiedBy>新加坡电话8322-2563</cp:lastModifiedBy>
  <cp:lastPrinted>2019-10-09T02:49:00Z</cp:lastPrinted>
  <dcterms:modified xsi:type="dcterms:W3CDTF">2024-09-13T00:44:58Z</dcterms:modified>
  <cp:revision>433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D424CB5F7F3D45628F33C529799C0BAE_13</vt:lpwstr>
  </property>
</Properties>
</file>